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  <w:r>
        <w:rPr>
          <w:rFonts w:ascii="Times New Roman" w:hAnsi="Times New Roman"/>
          <w:b/>
          <w:bCs/>
          <w:w w:val="0"/>
          <w:sz w:val="24"/>
          <w:szCs w:val="24"/>
        </w:rPr>
        <w:t>ANEXO V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2693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PARECER  GEPEX - CADASTRO DE AÇÃO DE EXTENSÃO – RESOLUÇÃO CONSUP 24/2019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AVALIAÇÃO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1. IMPACTO E TRANSFORMAÇÃO SOCIAL: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1.1 Fortalece o vínculo entre o IFG e a comunidade local expressos em suas metas e/ou objetivos?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1.2 Propõe ações que visam a transformação social por meio do incentivo à autonomia das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1.3 Promove as diretrizes da extensão por meio da articulação entre diferentes agentes sociais, iniciativas locais, poder público ou com a sociedade civil organizada?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Atende (   ) 2,0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2. INTERAÇÃO DIALÓGICA: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2.1 Promove o desenvolvimento de relações caracterizadas pelo diálogo e trocas de conhecimento entre o IFG e a comunidade?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2.2 Compreende a importância da construção do conhecimento por meio da vivência, experimentação prática e trocas de saberes?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2.3 Reconhece o protagonismo das comunidades e o desenvolvimento social enquanto fundamentos dos procedimentos de planejamento e execução?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3. INDISSOCIABILIDADE ENTRE ENSINO, PESQUISA E EXTENSÃO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3.1 Propõem ações que articulam ensino, pesquisa e extensão?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3.2 Promove a integração entre diferentes metodologias de ensino-aprendizagem?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3. Compreende que integração entre conhecimentos e os procedimentos metodológicos são fundamentos para a democratização do saber?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4. PROTAGONISMO ESTUDANTIL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4.1 A extensão é compreendida como processo formativo por meio da relação entre os estudantes e as comunidades?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4.2 O território abordado é compreendido de forma clara e objetivo enquanto um espaço de construção e aplicação de conhecimentos apreendidos?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4.3 Estimula o protagonismo estudantil no sentido de participar da formulação de ações voltadas para a transformação e/ou melhorias das comunidades locais?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5. VINCULAÇÃO PPPI E PDI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 proposta se relaciona aos objetivos e metas institucionais estabelecidos para a Extensão no PPPI e PDI.)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6. ESTRUTURAÇÃO DA PROPOSTA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6.1 Possui clareza e coerência entre os objetivos e os procedimentos metodológicos?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6.2 Possui clareza e coerência entre as atividades propostas e o cronograma estabelecido?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6.3 Apresenta viabilidade em relação à infraestrutura necessária para o desenvolvimento das atividades?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 )SIM  (   ) NÃO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 2,0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 1,0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 0,0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34"/>
              <w:jc w:val="both"/>
              <w:rPr>
                <w:rFonts w:ascii="Calibri" w:hAnsi="Calibri" w:cs="Calibri"/>
                <w:w w:val="0"/>
              </w:rPr>
            </w:pPr>
            <w:r>
              <w:rPr>
                <w:rFonts w:ascii="Calibri" w:hAnsi="Calibri" w:cs="Calibri"/>
                <w:w w:val="0"/>
              </w:rPr>
              <w:br w:type="page"/>
            </w:r>
            <w:r>
              <w:rPr>
                <w:rFonts w:ascii="Calibri" w:hAnsi="Calibri" w:cs="Calibri"/>
                <w:w w:val="0"/>
              </w:rPr>
              <w:br w:type="page"/>
            </w:r>
            <w:r>
              <w:rPr>
                <w:rFonts w:ascii="Calibri" w:hAnsi="Calibri" w:cs="Calibri"/>
                <w:w w:val="0"/>
              </w:rPr>
              <w:br w:type="page"/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34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7. VIABILIDADE ORÇAMENTÁRIA DA PROPOSTA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Quando for o caso, a Direção-Geral ao assinar o documento se compromete em atender as demandas orçamentárias, administrativas e/ou logísticas apresentadas no plano de trabalho e/ou de acordo com as observações indicadas neste parecer.)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) De acordo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(   ) Fazer adequações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(   ) Sem viabilidade 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8. PÚBLICO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As Ações de Extensão são de oferta pública, destinadas, prioritariamente, a candidatos/as da comunidade externa. Para a comunidade interna podem ser destinadas, no máximo, 20% das vagas ofertadas, independente do tipo de Ação.)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 xml:space="preserve">9. CHAMADA PÚBLICA 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(Se a proposta implica em seleção de público, a chamada é obrigatória)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10. FORMALIZAÇÃO DE INSTRUMENTO JURÍDICO (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>cf. art.4ª IN 04/2019/PROEX)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318"/>
              <w:jc w:val="right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CONCLUSÃO DO CRITÉRIO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Atende Parcialmente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atende (   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>Não se aplica (   )</w:t>
            </w: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CRITÉRIOS PARA APROVAÇÃO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 PROPOSTA SERÁ CONSIDERADA APROVADA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SE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ATINGIR O MÍNIMO DE 06 PONTOS (CRITÉRIOS 01 A 06)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ATENDER OBRIGATORIAMENTE AOS ITENS 07 E 08, </w:t>
            </w: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 TAMBÉM, QUANDO FOR O CASO, AOS ITENS 09 E 10.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RESULTADO: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w w:val="0"/>
                <w:sz w:val="20"/>
                <w:szCs w:val="20"/>
              </w:rPr>
              <w:t xml:space="preserve">Ação de Extensão: (   ) aprovada (   ) aprovada com ressalvas (   ) não aprovada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  <w:tr w:rsidR="00406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lastRenderedPageBreak/>
              <w:t>OBSERVAÇÕES/RECOMENDAÇÕES</w:t>
            </w:r>
            <w:r>
              <w:rPr>
                <w:rFonts w:ascii="Times New Roman" w:hAnsi="Times New Roman"/>
                <w:b/>
                <w:bCs/>
                <w:color w:val="FF0000"/>
                <w:w w:val="0"/>
                <w:sz w:val="20"/>
                <w:szCs w:val="20"/>
              </w:rPr>
              <w:t>/DESPACHO</w:t>
            </w:r>
            <w:r w:rsidR="00E83228"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  <w:t>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w w:val="0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w w:val="0"/>
                <w:sz w:val="20"/>
                <w:szCs w:val="20"/>
              </w:rPr>
            </w:pPr>
          </w:p>
        </w:tc>
      </w:tr>
    </w:tbl>
    <w:p w:rsidR="00406CAC" w:rsidRDefault="00406CAC" w:rsidP="00511E5B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w w:val="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:rsidR="00406CAC" w:rsidRDefault="00406CAC" w:rsidP="00511E5B">
      <w:pPr>
        <w:tabs>
          <w:tab w:val="left" w:pos="8302"/>
        </w:tabs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GEPEX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  <w:w w:val="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w w:val="0"/>
          <w:sz w:val="20"/>
          <w:szCs w:val="20"/>
        </w:rPr>
        <w:t>(assinado eletronicamente)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  <w:r>
        <w:rPr>
          <w:rFonts w:ascii="Times New Roman" w:hAnsi="Times New Roman"/>
          <w:color w:val="000000"/>
          <w:w w:val="0"/>
          <w:sz w:val="20"/>
          <w:szCs w:val="20"/>
        </w:rPr>
        <w:t>DIRETOR/A GERAL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sz w:val="20"/>
          <w:szCs w:val="20"/>
        </w:rPr>
      </w:pPr>
    </w:p>
    <w:p w:rsidR="00406CAC" w:rsidRPr="00137262" w:rsidRDefault="00406CAC" w:rsidP="00E83228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color w:val="000000"/>
          <w:w w:val="0"/>
          <w:sz w:val="20"/>
          <w:szCs w:val="20"/>
        </w:rPr>
      </w:pPr>
      <w:bookmarkStart w:id="0" w:name="_GoBack"/>
      <w:bookmarkEnd w:id="0"/>
    </w:p>
    <w:sectPr w:rsidR="00406CAC" w:rsidRPr="0013726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E83228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83228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2019-11-14T14:02:00Z</dcterms:created>
  <dcterms:modified xsi:type="dcterms:W3CDTF">2019-11-14T14:02:00Z</dcterms:modified>
</cp:coreProperties>
</file>